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677A" w:rsidRPr="009B677A" w:rsidRDefault="009B677A" w:rsidP="009B677A">
      <w:pPr>
        <w:pStyle w:val="NormalWeb"/>
        <w:rPr>
          <w:rStyle w:val="Heading2Char"/>
        </w:rPr>
      </w:pPr>
      <w:r w:rsidRPr="009B677A">
        <w:rPr>
          <w:rStyle w:val="Heading2Char"/>
        </w:rPr>
        <w:t>From atomic force microscopy to superconducting quantum circuits: the power and flexibility of FPGA electronics</w:t>
      </w:r>
    </w:p>
    <w:p w:rsidR="009B677A" w:rsidRDefault="009B677A" w:rsidP="009B677A">
      <w:pPr>
        <w:pStyle w:val="NormalWeb"/>
      </w:pPr>
      <w:r w:rsidRPr="009B677A">
        <w:rPr>
          <w:b/>
          <w:bCs/>
        </w:rPr>
        <w:t>Riccardo Borgani</w:t>
      </w:r>
      <w:r>
        <w:br/>
        <w:t>Nanostructure Physics, KTH Royal Institute of Technology, Stockholm, Sweden</w:t>
      </w:r>
    </w:p>
    <w:p w:rsidR="009B677A" w:rsidRDefault="009B677A" w:rsidP="009B677A">
      <w:pPr>
        <w:pStyle w:val="NormalWeb"/>
      </w:pPr>
      <w:r>
        <w:t>In multifrequency atomic-force microscopy (AFM), the response of the probe-sample system to multiple stimuli is measured to obtain topography and material properties simultaneously. While synchronizing the excitation and the sampling of the response at several frequencies is no trivial task, the recent advent of multifrequency lock-in amplifiers has greatly reduced the complexity of the required setup. We harness the power and flexibility of these devices based on field-programmable gate arrays (FPGA) by developing AFM modes to measure the potential of a surface with low noise and high lateral resolution, and about 30 ns time resolution. We also measure current-voltage characteristics at every pixel of a conductive-AFM scan with a speedup of four orders of magnitude.</w:t>
      </w:r>
      <w:r>
        <w:br/>
      </w:r>
      <w:r>
        <w:br/>
        <w:t xml:space="preserve">The same architecture that enables frequency-domain measurements at cantilever frequencies of 300 kHz, empowers the study of superconducting quantum circuits at 6 GHz. With a home-developed firmware for the latest </w:t>
      </w:r>
      <w:proofErr w:type="spellStart"/>
      <w:r>
        <w:t>RFSoC</w:t>
      </w:r>
      <w:proofErr w:type="spellEnd"/>
      <w:r>
        <w:t xml:space="preserve"> FPGA chip, we characterize a superconducting resonator-qubit pair and investigate microwave-pulse schemes to readout the quantum state of the qubit faster than the decay time of the resonator.</w:t>
      </w:r>
    </w:p>
    <w:p w:rsidR="0052067E" w:rsidRDefault="0052067E">
      <w:bookmarkStart w:id="0" w:name="_GoBack"/>
      <w:bookmarkEnd w:id="0"/>
    </w:p>
    <w:sectPr w:rsidR="0052067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doNotDisplayPageBoundaries/>
  <w:proofState w:spelling="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677A"/>
    <w:rsid w:val="0052067E"/>
    <w:rsid w:val="009B677A"/>
  </w:rsids>
  <m:mathPr>
    <m:mathFont m:val="Cambria Math"/>
    <m:brkBin m:val="before"/>
    <m:brkBinSub m:val="--"/>
    <m:smallFrac m:val="0"/>
    <m:dispDef/>
    <m:lMargin m:val="0"/>
    <m:rMargin m:val="0"/>
    <m:defJc m:val="centerGroup"/>
    <m:wrapIndent m:val="1440"/>
    <m:intLim m:val="subSup"/>
    <m:naryLim m:val="undOvr"/>
  </m:mathPr>
  <w:themeFontLang w:val="en-CH"/>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FC5E4A-6FDF-4251-9FBC-5251E923FD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B677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B677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B677A"/>
    <w:pPr>
      <w:spacing w:before="100" w:beforeAutospacing="1" w:after="100" w:afterAutospacing="1" w:line="240" w:lineRule="auto"/>
    </w:pPr>
    <w:rPr>
      <w:rFonts w:ascii="Calibri" w:hAnsi="Calibri" w:cs="Calibri"/>
      <w:lang w:eastAsia="en-CH"/>
    </w:rPr>
  </w:style>
  <w:style w:type="character" w:customStyle="1" w:styleId="Heading1Char">
    <w:name w:val="Heading 1 Char"/>
    <w:basedOn w:val="DefaultParagraphFont"/>
    <w:link w:val="Heading1"/>
    <w:uiPriority w:val="9"/>
    <w:rsid w:val="009B677A"/>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B677A"/>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57156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208</Words>
  <Characters>1190</Characters>
  <Application>Microsoft Office Word</Application>
  <DocSecurity>0</DocSecurity>
  <Lines>9</Lines>
  <Paragraphs>2</Paragraphs>
  <ScaleCrop>false</ScaleCrop>
  <Company/>
  <LinksUpToDate>false</LinksUpToDate>
  <CharactersWithSpaces>1396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Fabian Natterer</dc:creator>
  <cp:keywords/>
  <dc:description/>
  <cp:lastModifiedBy>Fabian Natterer</cp:lastModifiedBy>
  <cp:revision>1</cp:revision>
  <dcterms:created xsi:type="dcterms:W3CDTF">2019-11-27T08:44:00Z</dcterms:created>
  <dcterms:modified xsi:type="dcterms:W3CDTF">2019-11-27T08:46:00Z</dcterms:modified>
</cp:coreProperties>
</file>