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  <w:rPr>
          <w:b w:val="1"/>
          <w:bCs w:val="1"/>
          <w:sz w:val="20"/>
          <w:szCs w:val="20"/>
          <w:lang w:val="en-US"/>
        </w:rPr>
      </w:pPr>
      <w:r>
        <w:rPr>
          <w:b w:val="1"/>
          <w:bCs w:val="1"/>
          <w:sz w:val="20"/>
          <w:szCs w:val="20"/>
          <w:rtl w:val="0"/>
          <w:lang w:val="en-US"/>
        </w:rPr>
        <w:t xml:space="preserve">Shining light on correlated materials: quasiparticles or </w:t>
      </w:r>
      <w:r>
        <w:rPr>
          <w:b w:val="1"/>
          <w:bCs w:val="1"/>
          <w:sz w:val="20"/>
          <w:szCs w:val="20"/>
          <w:rtl w:val="0"/>
          <w:lang w:val="en-US"/>
        </w:rPr>
        <w:t>“</w:t>
      </w:r>
      <w:r>
        <w:rPr>
          <w:b w:val="1"/>
          <w:bCs w:val="1"/>
          <w:sz w:val="20"/>
          <w:szCs w:val="20"/>
          <w:rtl w:val="0"/>
          <w:lang w:val="en-US"/>
        </w:rPr>
        <w:t>unparticle</w:t>
      </w:r>
      <w:r>
        <w:rPr>
          <w:b w:val="1"/>
          <w:bCs w:val="1"/>
          <w:sz w:val="20"/>
          <w:szCs w:val="20"/>
          <w:rtl w:val="0"/>
          <w:lang w:val="en-US"/>
        </w:rPr>
        <w:t xml:space="preserve">” </w:t>
      </w:r>
      <w:r>
        <w:rPr>
          <w:b w:val="1"/>
          <w:bCs w:val="1"/>
          <w:sz w:val="20"/>
          <w:szCs w:val="20"/>
          <w:rtl w:val="0"/>
          <w:lang w:val="en-US"/>
        </w:rPr>
        <w:t>physics?</w:t>
      </w:r>
    </w:p>
    <w:p>
      <w:pPr>
        <w:pStyle w:val="Normal.0"/>
        <w:jc w:val="left"/>
        <w:rPr>
          <w:b w:val="1"/>
          <w:bCs w:val="1"/>
          <w:sz w:val="26"/>
          <w:szCs w:val="26"/>
          <w:lang w:val="en-US"/>
        </w:rPr>
      </w:pPr>
    </w:p>
    <w:p>
      <w:pPr>
        <w:pStyle w:val="Normal.0"/>
        <w:ind w:left="1985" w:right="229" w:firstLine="0"/>
        <w:rPr>
          <w:sz w:val="20"/>
          <w:szCs w:val="20"/>
        </w:rPr>
      </w:pPr>
      <w:r>
        <w:rPr>
          <w:sz w:val="20"/>
          <w:szCs w:val="20"/>
          <w:rtl w:val="0"/>
        </w:rPr>
        <w:t>Krzysztof Wohlfeld</w:t>
      </w:r>
    </w:p>
    <w:p>
      <w:pPr>
        <w:pStyle w:val="Normal.0"/>
        <w:ind w:left="1985" w:right="229" w:firstLine="0"/>
      </w:pPr>
    </w:p>
    <w:p>
      <w:pPr>
        <w:pStyle w:val="E-mail"/>
        <w:tabs>
          <w:tab w:val="left" w:pos="7212"/>
        </w:tabs>
        <w:ind w:left="1134" w:right="877" w:firstLine="0"/>
        <w:rPr>
          <w:rFonts w:ascii="Times New Roman" w:cs="Times New Roman" w:hAnsi="Times New Roman" w:eastAsia="Times New Roman"/>
          <w:i w:val="1"/>
          <w:iCs w:val="1"/>
          <w:sz w:val="20"/>
          <w:szCs w:val="20"/>
        </w:rPr>
      </w:pPr>
      <w:r>
        <w:rPr>
          <w:rFonts w:ascii="Times New Roman" w:hAnsi="Times New Roman"/>
          <w:sz w:val="20"/>
          <w:szCs w:val="20"/>
          <w:vertAlign w:val="superscript"/>
          <w:rtl w:val="0"/>
          <w:lang w:val="it-IT"/>
        </w:rPr>
        <w:t>Institute of Theoretical Physics, University of Warsaw, Polan</w:t>
      </w:r>
      <w:r>
        <w:rPr>
          <w:rFonts w:ascii="Times New Roman" w:hAnsi="Times New Roman"/>
          <w:sz w:val="20"/>
          <w:szCs w:val="20"/>
          <w:vertAlign w:val="superscript"/>
          <w:rtl w:val="0"/>
          <w:lang w:val="it-IT"/>
        </w:rPr>
        <w:t>d</w:t>
      </w:r>
    </w:p>
    <w:p>
      <w:pPr>
        <w:pStyle w:val="Normal.0"/>
        <w:rPr>
          <w:lang w:val="en-US"/>
        </w:rPr>
      </w:pP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>One of the fundamental questions in correlated materials is whether its low-energy physics can be described in terms of quasiparticles</w:t>
      </w:r>
      <w:r>
        <w:rPr>
          <w:sz w:val="20"/>
          <w:szCs w:val="20"/>
          <w:rtl w:val="0"/>
          <w:lang w:val="en-US"/>
        </w:rPr>
        <w:t>—</w:t>
      </w:r>
      <w:r>
        <w:rPr>
          <w:sz w:val="20"/>
          <w:szCs w:val="20"/>
          <w:rtl w:val="0"/>
          <w:lang w:val="en-US"/>
        </w:rPr>
        <w:t xml:space="preserve">or we are just left with the </w:t>
      </w:r>
      <w:r>
        <w:rPr>
          <w:sz w:val="20"/>
          <w:szCs w:val="20"/>
          <w:rtl w:val="0"/>
          <w:lang w:val="en-US"/>
        </w:rPr>
        <w:t>“</w:t>
      </w:r>
      <w:r>
        <w:rPr>
          <w:sz w:val="20"/>
          <w:szCs w:val="20"/>
          <w:rtl w:val="0"/>
          <w:lang w:val="en-US"/>
        </w:rPr>
        <w:t>unparticle</w:t>
      </w:r>
      <w:r>
        <w:rPr>
          <w:sz w:val="20"/>
          <w:szCs w:val="20"/>
          <w:rtl w:val="0"/>
          <w:lang w:val="en-US"/>
        </w:rPr>
        <w:t xml:space="preserve">” </w:t>
      </w:r>
      <w:r>
        <w:rPr>
          <w:sz w:val="20"/>
          <w:szCs w:val="20"/>
          <w:rtl w:val="0"/>
          <w:lang w:val="en-US"/>
        </w:rPr>
        <w:t xml:space="preserve">physics [1]. A paradigmatic example of such a situation can be found in antiferromagnets with added mobile holes. These, depending on the system dimension, </w:t>
      </w:r>
      <w:r>
        <w:rPr>
          <w:i w:val="1"/>
          <w:iCs w:val="1"/>
          <w:sz w:val="20"/>
          <w:szCs w:val="20"/>
          <w:rtl w:val="0"/>
          <w:lang w:val="en-US"/>
        </w:rPr>
        <w:t>either</w:t>
      </w:r>
      <w:r>
        <w:rPr>
          <w:sz w:val="20"/>
          <w:szCs w:val="20"/>
          <w:rtl w:val="0"/>
          <w:lang w:val="en-US"/>
        </w:rPr>
        <w:t xml:space="preserve"> form well-defined fermionic quasiparticles (spin polarons) </w:t>
      </w:r>
      <w:r>
        <w:rPr>
          <w:i w:val="1"/>
          <w:iCs w:val="1"/>
          <w:sz w:val="20"/>
          <w:szCs w:val="20"/>
          <w:rtl w:val="0"/>
          <w:lang w:val="en-US"/>
        </w:rPr>
        <w:t>or</w:t>
      </w:r>
      <w:r>
        <w:rPr>
          <w:sz w:val="20"/>
          <w:szCs w:val="20"/>
          <w:rtl w:val="0"/>
          <w:lang w:val="en-US"/>
        </w:rPr>
        <w:t xml:space="preserve"> fractionalise into spinons and holons [2]. </w:t>
      </w:r>
    </w:p>
    <w:p>
      <w:pPr>
        <w:pStyle w:val="Normal.0"/>
        <w:rPr>
          <w:sz w:val="20"/>
          <w:szCs w:val="20"/>
          <w:lang w:val="en-US"/>
        </w:rPr>
      </w:pP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 xml:space="preserve">In this talk, I will discuss which of these two cases is more </w:t>
      </w:r>
      <w:r>
        <w:rPr>
          <w:sz w:val="20"/>
          <w:szCs w:val="20"/>
          <w:rtl w:val="0"/>
          <w:lang w:val="en-US"/>
        </w:rPr>
        <w:t>“</w:t>
      </w:r>
      <w:r>
        <w:rPr>
          <w:sz w:val="20"/>
          <w:szCs w:val="20"/>
          <w:rtl w:val="0"/>
          <w:lang w:val="en-US"/>
        </w:rPr>
        <w:t>typical</w:t>
      </w:r>
      <w:r>
        <w:rPr>
          <w:sz w:val="20"/>
          <w:szCs w:val="20"/>
          <w:rtl w:val="0"/>
          <w:lang w:val="en-US"/>
        </w:rPr>
        <w:t xml:space="preserve">” </w:t>
      </w:r>
      <w:r>
        <w:rPr>
          <w:sz w:val="20"/>
          <w:szCs w:val="20"/>
          <w:rtl w:val="0"/>
          <w:lang w:val="en-US"/>
        </w:rPr>
        <w:t>to the transition metal oxides. To this end, I intend to give an overview of our recent studies of the ARPES spectra of copper [3], ruthenium [4] and iridium [5] oxides and show a prominent stability of the fermionic quasiparticles. Finally, I will discuss whether also the magnetic quasiparticles can become stable in RIXS on doped cuprates [6], i.e. in systems without magnetic long-rage order but with strong coupling to the fermionic degrees of freedom.</w:t>
      </w:r>
    </w:p>
    <w:p>
      <w:pPr>
        <w:pStyle w:val="Normal.0"/>
        <w:rPr>
          <w:sz w:val="20"/>
          <w:szCs w:val="20"/>
          <w:lang w:val="en-US"/>
        </w:rPr>
      </w:pPr>
    </w:p>
    <w:p>
      <w:pPr>
        <w:pStyle w:val="Normal.0"/>
        <w:rPr>
          <w:b w:val="1"/>
          <w:bCs w:val="1"/>
          <w:sz w:val="20"/>
          <w:szCs w:val="20"/>
          <w:lang w:val="en-US"/>
        </w:rPr>
      </w:pPr>
      <w:r>
        <w:rPr>
          <w:b w:val="1"/>
          <w:bCs w:val="1"/>
          <w:sz w:val="20"/>
          <w:szCs w:val="20"/>
          <w:rtl w:val="0"/>
          <w:lang w:val="en-US"/>
        </w:rPr>
        <w:t>References</w:t>
      </w:r>
      <w:r>
        <w:rPr>
          <w:b w:val="1"/>
          <w:bCs w:val="1"/>
          <w:sz w:val="20"/>
          <w:szCs w:val="20"/>
          <w:rtl w:val="0"/>
          <w:lang w:val="en-US"/>
        </w:rPr>
        <w:t>:</w:t>
      </w: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 xml:space="preserve">[1] </w:t>
      </w:r>
      <w:r>
        <w:rPr>
          <w:sz w:val="20"/>
          <w:szCs w:val="20"/>
          <w:rtl w:val="0"/>
          <w:lang w:val="en-US"/>
        </w:rPr>
        <w:t>J. Zaanen, SciPost Phys.</w:t>
      </w:r>
      <w:r>
        <w:rPr>
          <w:b w:val="1"/>
          <w:bCs w:val="1"/>
          <w:sz w:val="20"/>
          <w:szCs w:val="20"/>
          <w:rtl w:val="0"/>
          <w:lang w:val="en-US"/>
        </w:rPr>
        <w:t xml:space="preserve"> 6</w:t>
      </w:r>
      <w:r>
        <w:rPr>
          <w:sz w:val="20"/>
          <w:szCs w:val="20"/>
          <w:rtl w:val="0"/>
          <w:lang w:val="en-US"/>
        </w:rPr>
        <w:t>, 61 (2019).</w:t>
      </w: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 xml:space="preserve">[2] </w:t>
      </w:r>
      <w:r>
        <w:rPr>
          <w:sz w:val="20"/>
          <w:szCs w:val="20"/>
          <w:rtl w:val="0"/>
          <w:lang w:val="en-US"/>
        </w:rPr>
        <w:t>D. I. Khomskii, Basic Aspects of the Quantum Theory of</w:t>
      </w:r>
      <w:r>
        <w:rPr>
          <w:sz w:val="20"/>
          <w:szCs w:val="20"/>
          <w:rtl w:val="0"/>
          <w:lang w:val="en-US"/>
        </w:rPr>
        <w:t xml:space="preserve"> </w:t>
      </w:r>
      <w:r>
        <w:rPr>
          <w:sz w:val="20"/>
          <w:szCs w:val="20"/>
          <w:rtl w:val="0"/>
          <w:lang w:val="en-US"/>
        </w:rPr>
        <w:t>Solids: Order and Elementary Excitations (C</w:t>
      </w:r>
      <w:r>
        <w:rPr>
          <w:sz w:val="20"/>
          <w:szCs w:val="20"/>
          <w:rtl w:val="0"/>
          <w:lang w:val="en-US"/>
        </w:rPr>
        <w:t xml:space="preserve">UP </w:t>
      </w:r>
      <w:r>
        <w:rPr>
          <w:sz w:val="20"/>
          <w:szCs w:val="20"/>
          <w:rtl w:val="0"/>
          <w:lang w:val="en-US"/>
        </w:rPr>
        <w:t>2010).</w:t>
      </w: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 xml:space="preserve">[3] P. Wrzosek </w:t>
      </w:r>
      <w:r>
        <w:rPr>
          <w:i w:val="1"/>
          <w:iCs w:val="1"/>
          <w:sz w:val="20"/>
          <w:szCs w:val="20"/>
          <w:rtl w:val="0"/>
          <w:lang w:val="en-US"/>
        </w:rPr>
        <w:t>et al.</w:t>
      </w:r>
      <w:r>
        <w:rPr>
          <w:sz w:val="20"/>
          <w:szCs w:val="20"/>
          <w:rtl w:val="0"/>
          <w:lang w:val="en-US"/>
        </w:rPr>
        <w:t xml:space="preserve">, </w:t>
      </w:r>
      <w:r>
        <w:rPr>
          <w:sz w:val="20"/>
          <w:szCs w:val="20"/>
          <w:rtl w:val="0"/>
          <w:lang w:val="en-US"/>
        </w:rPr>
        <w:t>arXiv:2203.01846</w:t>
      </w:r>
      <w:r>
        <w:rPr>
          <w:sz w:val="20"/>
          <w:szCs w:val="20"/>
          <w:rtl w:val="0"/>
          <w:lang w:val="en-US"/>
        </w:rPr>
        <w:t xml:space="preserve">; </w:t>
      </w:r>
      <w:r>
        <w:rPr>
          <w:sz w:val="20"/>
          <w:szCs w:val="20"/>
          <w:rtl w:val="0"/>
          <w:lang w:val="en-US"/>
        </w:rPr>
        <w:t xml:space="preserve">P. Wrzosek and K. Wohlfeld, Phys. Rev. B </w:t>
      </w:r>
      <w:r>
        <w:rPr>
          <w:b w:val="1"/>
          <w:bCs w:val="1"/>
          <w:sz w:val="20"/>
          <w:szCs w:val="20"/>
          <w:rtl w:val="0"/>
          <w:lang w:val="en-US"/>
        </w:rPr>
        <w:t>103</w:t>
      </w:r>
      <w:r>
        <w:rPr>
          <w:sz w:val="20"/>
          <w:szCs w:val="20"/>
          <w:rtl w:val="0"/>
          <w:lang w:val="en-US"/>
        </w:rPr>
        <w:t>, 035113 (2021).</w:t>
      </w: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 xml:space="preserve">[4] A. Klosinski </w:t>
      </w:r>
      <w:r>
        <w:rPr>
          <w:i w:val="1"/>
          <w:iCs w:val="1"/>
          <w:sz w:val="20"/>
          <w:szCs w:val="20"/>
          <w:rtl w:val="0"/>
          <w:lang w:val="en-US"/>
        </w:rPr>
        <w:t>et al.</w:t>
      </w:r>
      <w:r>
        <w:rPr>
          <w:sz w:val="20"/>
          <w:szCs w:val="20"/>
          <w:rtl w:val="0"/>
          <w:lang w:val="en-US"/>
        </w:rPr>
        <w:t xml:space="preserve">, </w:t>
      </w:r>
      <w:r>
        <w:rPr>
          <w:sz w:val="20"/>
          <w:szCs w:val="20"/>
          <w:rtl w:val="0"/>
          <w:lang w:val="en-US"/>
        </w:rPr>
        <w:t xml:space="preserve">Physical Review B </w:t>
      </w:r>
      <w:r>
        <w:rPr>
          <w:b w:val="1"/>
          <w:bCs w:val="1"/>
          <w:sz w:val="20"/>
          <w:szCs w:val="20"/>
          <w:rtl w:val="0"/>
          <w:lang w:val="en-US"/>
        </w:rPr>
        <w:t>101</w:t>
      </w:r>
      <w:r>
        <w:rPr>
          <w:sz w:val="20"/>
          <w:szCs w:val="20"/>
          <w:rtl w:val="0"/>
          <w:lang w:val="en-US"/>
        </w:rPr>
        <w:t>, 035115 (2020)</w:t>
      </w:r>
      <w:r>
        <w:rPr>
          <w:sz w:val="20"/>
          <w:szCs w:val="20"/>
          <w:rtl w:val="0"/>
          <w:lang w:val="en-US"/>
        </w:rPr>
        <w:t>.</w:t>
      </w:r>
    </w:p>
    <w:p>
      <w:pPr>
        <w:pStyle w:val="Normal.0"/>
        <w:rPr>
          <w:sz w:val="20"/>
          <w:szCs w:val="20"/>
          <w:lang w:val="en-US"/>
        </w:rPr>
      </w:pPr>
      <w:r>
        <w:rPr>
          <w:sz w:val="20"/>
          <w:szCs w:val="20"/>
          <w:rtl w:val="0"/>
          <w:lang w:val="en-US"/>
        </w:rPr>
        <w:t xml:space="preserve">[5] E. M. Paerschke </w:t>
      </w:r>
      <w:r>
        <w:rPr>
          <w:i w:val="1"/>
          <w:iCs w:val="1"/>
          <w:sz w:val="20"/>
          <w:szCs w:val="20"/>
          <w:rtl w:val="0"/>
          <w:lang w:val="en-US"/>
        </w:rPr>
        <w:t>et al</w:t>
      </w:r>
      <w:r>
        <w:rPr>
          <w:sz w:val="20"/>
          <w:szCs w:val="20"/>
          <w:rtl w:val="0"/>
          <w:lang w:val="en-US"/>
        </w:rPr>
        <w:t xml:space="preserve">., </w:t>
      </w:r>
      <w:r>
        <w:rPr>
          <w:sz w:val="20"/>
          <w:szCs w:val="20"/>
          <w:rtl w:val="0"/>
          <w:lang w:val="en-US"/>
        </w:rPr>
        <w:t xml:space="preserve">Nature Communications </w:t>
      </w:r>
      <w:r>
        <w:rPr>
          <w:b w:val="1"/>
          <w:bCs w:val="1"/>
          <w:sz w:val="20"/>
          <w:szCs w:val="20"/>
          <w:rtl w:val="0"/>
          <w:lang w:val="en-US"/>
        </w:rPr>
        <w:t>8</w:t>
      </w:r>
      <w:r>
        <w:rPr>
          <w:sz w:val="20"/>
          <w:szCs w:val="20"/>
          <w:rtl w:val="0"/>
          <w:lang w:val="en-US"/>
        </w:rPr>
        <w:t>, 686 (2017)</w:t>
      </w:r>
      <w:r>
        <w:rPr>
          <w:sz w:val="20"/>
          <w:szCs w:val="20"/>
          <w:rtl w:val="0"/>
          <w:lang w:val="en-US"/>
        </w:rPr>
        <w:t>.</w:t>
      </w:r>
    </w:p>
    <w:p>
      <w:pPr>
        <w:pStyle w:val="Normal.0"/>
      </w:pPr>
      <w:r>
        <w:rPr>
          <w:sz w:val="20"/>
          <w:szCs w:val="20"/>
          <w:rtl w:val="0"/>
          <w:lang w:val="en-US"/>
        </w:rPr>
        <w:t xml:space="preserve">[6] W. Zhang </w:t>
      </w:r>
      <w:r>
        <w:rPr>
          <w:i w:val="1"/>
          <w:iCs w:val="1"/>
          <w:sz w:val="20"/>
          <w:szCs w:val="20"/>
          <w:rtl w:val="0"/>
          <w:lang w:val="en-US"/>
        </w:rPr>
        <w:t>et al.</w:t>
      </w:r>
      <w:r>
        <w:rPr>
          <w:sz w:val="20"/>
          <w:szCs w:val="20"/>
          <w:rtl w:val="0"/>
          <w:lang w:val="en-US"/>
        </w:rPr>
        <w:t xml:space="preserve">, arXiv: </w:t>
      </w:r>
      <w:r>
        <w:rPr>
          <w:sz w:val="20"/>
          <w:szCs w:val="20"/>
          <w:rtl w:val="0"/>
          <w:lang w:val="en-US"/>
        </w:rPr>
        <w:t>2204.08749</w:t>
      </w:r>
      <w:r>
        <w:rPr>
          <w:sz w:val="20"/>
          <w:szCs w:val="20"/>
          <w:rtl w:val="0"/>
          <w:lang w:val="en-US"/>
        </w:rPr>
        <w:t>.</w:t>
      </w:r>
    </w:p>
    <w:sectPr>
      <w:headerReference w:type="default" r:id="rId4"/>
      <w:footerReference w:type="default" r:id="rId5"/>
      <w:pgSz w:w="9980" w:h="14180" w:orient="portrait"/>
      <w:pgMar w:top="1134" w:right="1134" w:bottom="1134" w:left="1134" w:header="283" w:footer="567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footer"/>
      <w:tabs>
        <w:tab w:val="right" w:pos="7692"/>
        <w:tab w:val="clear" w:pos="4819"/>
        <w:tab w:val="clear" w:pos="9638"/>
      </w:tabs>
      <w:jc w:val="center"/>
    </w:pPr>
    <w:r>
      <w:rPr>
        <w:sz w:val="24"/>
        <w:szCs w:val="24"/>
        <w:rtl w:val="0"/>
      </w:rPr>
      <w:fldChar w:fldCharType="begin" w:fldLock="0"/>
    </w:r>
    <w:r>
      <w:rPr>
        <w:sz w:val="24"/>
        <w:szCs w:val="24"/>
        <w:rtl w:val="0"/>
      </w:rPr>
      <w:instrText xml:space="preserve"> PAGE </w:instrText>
    </w:r>
    <w:r>
      <w:rPr>
        <w:sz w:val="24"/>
        <w:szCs w:val="24"/>
        <w:rtl w:val="0"/>
      </w:rPr>
      <w:fldChar w:fldCharType="separate" w:fldLock="0"/>
    </w:r>
    <w:r>
      <w:rPr>
        <w:sz w:val="24"/>
        <w:szCs w:val="24"/>
        <w:rtl w:val="0"/>
      </w:rPr>
    </w:r>
    <w:r>
      <w:rPr>
        <w:sz w:val="24"/>
        <w:szCs w:val="24"/>
        <w:rtl w:val="0"/>
      </w:rPr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ormal.0"/>
      <w:spacing w:before="100" w:after="100"/>
    </w:pPr>
    <w:r>
      <w:rPr>
        <w:lang w:val="en-US"/>
      </w:rPr>
    </w:r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34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both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  <w:style w:type="paragraph" w:styleId="footer">
    <w:name w:val="footer"/>
    <w:next w:val="footer"/>
    <w:pPr>
      <w:keepNext w:val="0"/>
      <w:keepLines w:val="0"/>
      <w:pageBreakBefore w:val="0"/>
      <w:widowControl w:val="1"/>
      <w:shd w:val="clear" w:color="auto" w:fill="auto"/>
      <w:tabs>
        <w:tab w:val="center" w:pos="4819"/>
        <w:tab w:val="right" w:pos="9638"/>
      </w:tabs>
      <w:suppressAutoHyphens w:val="0"/>
      <w:bidi w:val="0"/>
      <w:spacing w:before="0" w:after="0" w:line="240" w:lineRule="auto"/>
      <w:ind w:left="0" w:right="0" w:firstLine="0"/>
      <w:jc w:val="both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  <w:style w:type="paragraph" w:styleId="E-mail">
    <w:name w:val="E-mai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40" w:line="240" w:lineRule="auto"/>
      <w:ind w:left="1418" w:right="0" w:firstLine="0"/>
      <w:jc w:val="both"/>
      <w:outlineLvl w:val="9"/>
    </w:pPr>
    <w:rPr>
      <w:rFonts w:ascii="Times Roman" w:cs="Arial Unicode MS" w:hAnsi="Times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